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3E" w:rsidRDefault="006F2E3E">
      <w:pPr>
        <w:jc w:val="center"/>
        <w:rPr>
          <w:rFonts w:ascii="Cambria" w:hAnsi="Cambria" w:cs="Cambria"/>
          <w:b/>
          <w:bCs/>
          <w:sz w:val="16"/>
          <w:szCs w:val="16"/>
          <w:lang w:val="en-US"/>
        </w:rPr>
      </w:pPr>
    </w:p>
    <w:p w:rsidR="006F2E3E" w:rsidRDefault="0007778F">
      <w:pPr>
        <w:jc w:val="center"/>
        <w:rPr>
          <w:rFonts w:ascii="Cambria" w:hAnsi="Cambria" w:cs="Cambria"/>
          <w:b/>
          <w:bCs/>
          <w:sz w:val="36"/>
          <w:szCs w:val="36"/>
          <w:lang w:val="en-US"/>
        </w:rPr>
      </w:pPr>
      <w:r>
        <w:rPr>
          <w:noProof/>
          <w:lang w:val="sl-SI" w:eastAsia="sl-SI"/>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13970" t="9525" r="508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271E8"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29"/>
        <w:gridCol w:w="7342"/>
      </w:tblGrid>
      <w:tr w:rsidR="006F2E3E" w:rsidRPr="00682327">
        <w:trPr>
          <w:trHeight w:val="552"/>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2804CE" w:rsidRPr="002804CE" w:rsidRDefault="002804CE" w:rsidP="002804CE">
            <w:pPr>
              <w:spacing w:after="168" w:line="240" w:lineRule="atLeast"/>
              <w:outlineLvl w:val="0"/>
              <w:rPr>
                <w:rFonts w:ascii="Arial" w:hAnsi="Arial" w:cs="Arial"/>
                <w:color w:val="000000"/>
                <w:kern w:val="36"/>
                <w:lang w:val="en-US" w:eastAsia="el-GR"/>
              </w:rPr>
            </w:pPr>
            <w:r w:rsidRPr="002804CE">
              <w:rPr>
                <w:rFonts w:ascii="Arial" w:hAnsi="Arial" w:cs="Arial"/>
                <w:color w:val="000000"/>
                <w:kern w:val="36"/>
                <w:lang w:val="en-US" w:eastAsia="el-GR"/>
              </w:rPr>
              <w:t>Cultural Cooperation Projects in the Western Balkans 2019</w:t>
            </w:r>
          </w:p>
          <w:p w:rsidR="002804CE" w:rsidRPr="002804CE" w:rsidRDefault="002804CE" w:rsidP="002804CE">
            <w:pPr>
              <w:rPr>
                <w:rFonts w:ascii="Arial" w:hAnsi="Arial" w:cs="Arial"/>
                <w:color w:val="000000"/>
                <w:lang w:val="en-US" w:eastAsia="el-GR"/>
              </w:rPr>
            </w:pPr>
            <w:r w:rsidRPr="002804CE">
              <w:rPr>
                <w:rFonts w:ascii="Arial" w:hAnsi="Arial" w:cs="Arial"/>
                <w:color w:val="000000"/>
                <w:lang w:val="en-US" w:eastAsia="el-GR"/>
              </w:rPr>
              <w:t>Call number: </w:t>
            </w:r>
            <w:r w:rsidRPr="002804CE">
              <w:rPr>
                <w:rFonts w:ascii="Arial" w:hAnsi="Arial" w:cs="Arial"/>
                <w:color w:val="000000"/>
                <w:lang w:val="el-GR" w:eastAsia="el-GR"/>
              </w:rPr>
              <w:t>EACEA 39/2019</w:t>
            </w:r>
          </w:p>
          <w:p w:rsidR="006F2E3E" w:rsidRPr="00682327" w:rsidRDefault="006F2E3E" w:rsidP="002804CE">
            <w:pPr>
              <w:spacing w:after="48" w:line="240" w:lineRule="atLeast"/>
              <w:outlineLvl w:val="2"/>
              <w:rPr>
                <w:rFonts w:ascii="Cambria" w:hAnsi="Cambria" w:cs="Cambria"/>
                <w:lang w:val="en-US"/>
              </w:rPr>
            </w:pPr>
          </w:p>
        </w:tc>
      </w:tr>
      <w:tr w:rsidR="006F2E3E" w:rsidRPr="00682327">
        <w:trPr>
          <w:trHeight w:val="552"/>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2804CE" w:rsidRPr="002804CE" w:rsidRDefault="002804CE" w:rsidP="002804CE">
            <w:pPr>
              <w:spacing w:line="240" w:lineRule="atLeast"/>
              <w:rPr>
                <w:rFonts w:ascii="Arial" w:hAnsi="Arial" w:cs="Arial"/>
                <w:b/>
                <w:color w:val="000000"/>
                <w:lang w:val="el-GR" w:eastAsia="el-GR"/>
              </w:rPr>
            </w:pPr>
            <w:r w:rsidRPr="002804CE">
              <w:rPr>
                <w:rFonts w:ascii="Arial" w:hAnsi="Arial" w:cs="Arial"/>
                <w:b/>
                <w:color w:val="000000"/>
                <w:lang w:val="el-GR" w:eastAsia="el-GR"/>
              </w:rPr>
              <w:t>17 Mar 2020, 4:00PM</w:t>
            </w:r>
          </w:p>
          <w:p w:rsidR="006F2E3E" w:rsidRPr="00682327" w:rsidRDefault="006F2E3E">
            <w:pPr>
              <w:rPr>
                <w:rFonts w:ascii="Cambria" w:hAnsi="Cambria" w:cs="Cambria"/>
                <w:lang w:val="en-US"/>
              </w:rPr>
            </w:pP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bookmarkStart w:id="0" w:name="_GoBack"/>
      <w:bookmarkEnd w:id="0"/>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1A51F5">
        <w:trPr>
          <w:trHeight w:val="552"/>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682327" w:rsidRDefault="002804CE">
            <w:pPr>
              <w:rPr>
                <w:rFonts w:ascii="Arial" w:hAnsi="Arial" w:cs="Arial"/>
                <w:lang w:val="es-ES"/>
              </w:rPr>
            </w:pPr>
            <w:r w:rsidRPr="00682327">
              <w:rPr>
                <w:rFonts w:ascii="Arial" w:hAnsi="Arial" w:cs="Arial"/>
                <w:lang w:val="es-ES"/>
              </w:rPr>
              <w:t xml:space="preserve">THESSALONIKI OLYMPIC MUSEUM </w:t>
            </w:r>
            <w:r w:rsidR="003C541E">
              <w:rPr>
                <w:rFonts w:ascii="Arial" w:hAnsi="Arial" w:cs="Arial"/>
                <w:lang w:val="es-ES"/>
              </w:rPr>
              <w:t>(already possessing PIC Number)_</w:t>
            </w:r>
          </w:p>
        </w:tc>
      </w:tr>
      <w:tr w:rsidR="006F2E3E" w:rsidRPr="001A51F5">
        <w:trPr>
          <w:trHeight w:val="552"/>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2804CE" w:rsidRPr="00682327" w:rsidRDefault="002804CE" w:rsidP="002804CE">
            <w:pPr>
              <w:spacing w:after="200"/>
              <w:jc w:val="both"/>
              <w:rPr>
                <w:rFonts w:ascii="Arial" w:hAnsi="Arial" w:cs="Arial"/>
                <w:sz w:val="22"/>
                <w:szCs w:val="22"/>
                <w:lang w:val="en-US"/>
              </w:rPr>
            </w:pPr>
            <w:r w:rsidRPr="00682327">
              <w:rPr>
                <w:rFonts w:ascii="Arial" w:hAnsi="Arial" w:cs="Arial"/>
                <w:sz w:val="22"/>
                <w:szCs w:val="22"/>
                <w:lang w:val="en-US"/>
              </w:rPr>
              <w:t xml:space="preserve">One of a kind in Greece, the museum narrates the story of the Olympic Games. Established in 2001 as a Sport Museum, it expanded scope in 2008 becoming an Olympic Museum and a founding member of the prestigious Olympic Museums Network, counting today 27 organizations within the International Olympic Committee. Since then, it serves as an agent of the Olympic spirit, ethos and heritage. Its main mission is the dispersal of the Olympic Movement and Olympism. </w:t>
            </w:r>
          </w:p>
          <w:p w:rsidR="002804CE" w:rsidRPr="00682327" w:rsidRDefault="002804CE" w:rsidP="002804CE">
            <w:pPr>
              <w:spacing w:after="200"/>
              <w:jc w:val="both"/>
              <w:rPr>
                <w:rFonts w:ascii="Arial" w:hAnsi="Arial" w:cs="Arial"/>
                <w:sz w:val="22"/>
                <w:szCs w:val="22"/>
                <w:lang w:val="en-US"/>
              </w:rPr>
            </w:pPr>
            <w:r w:rsidRPr="00682327">
              <w:rPr>
                <w:rFonts w:ascii="Arial" w:hAnsi="Arial" w:cs="Arial"/>
                <w:sz w:val="22"/>
                <w:szCs w:val="22"/>
                <w:lang w:val="en-US"/>
              </w:rPr>
              <w:t xml:space="preserve">Affiliated with the National Olympic Committee and the Hellenic Olympic Academy, the museum remains focused on preserving and communicating the Olympic Values, which are the cornerstones of Olympic Education and, therefore, of Olympism.  </w:t>
            </w:r>
          </w:p>
          <w:p w:rsidR="00F60805" w:rsidRPr="00682327" w:rsidRDefault="00F60805" w:rsidP="00F60805">
            <w:pPr>
              <w:tabs>
                <w:tab w:val="left" w:pos="15168"/>
              </w:tabs>
              <w:ind w:left="-23" w:right="677"/>
              <w:rPr>
                <w:rFonts w:ascii="Arial" w:hAnsi="Arial" w:cs="Arial"/>
                <w:b/>
                <w:sz w:val="22"/>
                <w:szCs w:val="22"/>
                <w:lang w:val="en-US"/>
              </w:rPr>
            </w:pPr>
            <w:r w:rsidRPr="00682327">
              <w:rPr>
                <w:rFonts w:ascii="Arial" w:hAnsi="Arial" w:cs="Arial"/>
                <w:b/>
                <w:sz w:val="22"/>
                <w:szCs w:val="22"/>
                <w:lang w:val="en-US"/>
              </w:rPr>
              <w:t>A</w:t>
            </w:r>
            <w:r w:rsidR="002804CE" w:rsidRPr="00682327">
              <w:rPr>
                <w:rFonts w:ascii="Arial" w:hAnsi="Arial" w:cs="Arial"/>
                <w:b/>
                <w:sz w:val="22"/>
                <w:szCs w:val="22"/>
                <w:lang w:val="en-US"/>
              </w:rPr>
              <w:t>ims</w:t>
            </w:r>
          </w:p>
          <w:p w:rsidR="00F60805" w:rsidRPr="00682327" w:rsidRDefault="00F60805" w:rsidP="00F60805">
            <w:pPr>
              <w:tabs>
                <w:tab w:val="left" w:pos="15168"/>
              </w:tabs>
              <w:ind w:left="851" w:right="677"/>
              <w:rPr>
                <w:rFonts w:ascii="Arial" w:hAnsi="Arial" w:cs="Arial"/>
                <w:b/>
                <w:sz w:val="22"/>
                <w:szCs w:val="22"/>
                <w:lang w:val="en-US"/>
              </w:rPr>
            </w:pPr>
          </w:p>
          <w:p w:rsidR="00F60805" w:rsidRPr="003C541E" w:rsidRDefault="00F60805" w:rsidP="003C541E">
            <w:pPr>
              <w:spacing w:after="200"/>
              <w:jc w:val="both"/>
              <w:rPr>
                <w:rFonts w:ascii="Arial" w:hAnsi="Arial" w:cs="Arial"/>
                <w:sz w:val="22"/>
                <w:szCs w:val="22"/>
                <w:lang w:val="en-US"/>
              </w:rPr>
            </w:pPr>
            <w:r w:rsidRPr="003C541E">
              <w:rPr>
                <w:rFonts w:ascii="Arial" w:hAnsi="Arial" w:cs="Arial"/>
                <w:sz w:val="22"/>
                <w:szCs w:val="22"/>
                <w:lang w:val="en-US"/>
              </w:rPr>
              <w:t xml:space="preserve">• Collect and exhibit material evidence of Olympic Games.  </w:t>
            </w:r>
          </w:p>
          <w:p w:rsidR="00F60805" w:rsidRPr="003C541E" w:rsidRDefault="00F60805" w:rsidP="003C541E">
            <w:pPr>
              <w:spacing w:after="200"/>
              <w:jc w:val="both"/>
              <w:rPr>
                <w:rFonts w:ascii="Arial" w:hAnsi="Arial" w:cs="Arial"/>
                <w:sz w:val="22"/>
                <w:szCs w:val="22"/>
                <w:lang w:val="en-US"/>
              </w:rPr>
            </w:pPr>
            <w:r w:rsidRPr="003C541E">
              <w:rPr>
                <w:rFonts w:ascii="Arial" w:hAnsi="Arial" w:cs="Arial"/>
                <w:sz w:val="22"/>
                <w:szCs w:val="22"/>
                <w:lang w:val="en-US"/>
              </w:rPr>
              <w:t xml:space="preserve">• Familiarize audiences with Olympic Values, especially youth.  </w:t>
            </w:r>
          </w:p>
          <w:p w:rsidR="00F60805" w:rsidRPr="003C541E" w:rsidRDefault="00F60805" w:rsidP="003C541E">
            <w:pPr>
              <w:spacing w:after="200"/>
              <w:jc w:val="both"/>
              <w:rPr>
                <w:rFonts w:ascii="Arial" w:hAnsi="Arial" w:cs="Arial"/>
                <w:sz w:val="22"/>
                <w:szCs w:val="22"/>
                <w:lang w:val="en-US"/>
              </w:rPr>
            </w:pPr>
            <w:r w:rsidRPr="003C541E">
              <w:rPr>
                <w:rFonts w:ascii="Arial" w:hAnsi="Arial" w:cs="Arial"/>
                <w:sz w:val="22"/>
                <w:szCs w:val="22"/>
                <w:lang w:val="en-US"/>
              </w:rPr>
              <w:t>• Speak of the symbiosis of a "healthy mind in a healthy body."</w:t>
            </w:r>
          </w:p>
          <w:p w:rsidR="002804CE" w:rsidRPr="003C541E" w:rsidRDefault="00F60805" w:rsidP="003C541E">
            <w:pPr>
              <w:spacing w:after="200"/>
              <w:jc w:val="both"/>
              <w:rPr>
                <w:rFonts w:ascii="Arial" w:hAnsi="Arial" w:cs="Arial"/>
                <w:sz w:val="22"/>
                <w:szCs w:val="22"/>
                <w:lang w:val="en-US"/>
              </w:rPr>
            </w:pPr>
            <w:r w:rsidRPr="003C541E">
              <w:rPr>
                <w:rFonts w:ascii="Arial" w:hAnsi="Arial" w:cs="Arial"/>
                <w:sz w:val="22"/>
                <w:szCs w:val="22"/>
                <w:lang w:val="en-US"/>
              </w:rPr>
              <w:t>• Communicate sport as one of the greatest investments for society.</w:t>
            </w:r>
          </w:p>
          <w:p w:rsidR="00F60805" w:rsidRPr="00F60805" w:rsidRDefault="00F60805" w:rsidP="00F60805">
            <w:pPr>
              <w:tabs>
                <w:tab w:val="left" w:pos="15168"/>
              </w:tabs>
              <w:ind w:left="119" w:right="677"/>
              <w:rPr>
                <w:rFonts w:ascii="Arial" w:hAnsi="Arial" w:cs="Arial"/>
                <w:color w:val="000000"/>
                <w:sz w:val="20"/>
                <w:szCs w:val="20"/>
                <w:lang w:val="en-US" w:eastAsia="el-GR"/>
              </w:rPr>
            </w:pPr>
          </w:p>
          <w:p w:rsidR="002804CE" w:rsidRPr="00682327" w:rsidRDefault="00F60805" w:rsidP="002804CE">
            <w:pPr>
              <w:spacing w:after="200"/>
              <w:jc w:val="both"/>
              <w:rPr>
                <w:rFonts w:ascii="Arial" w:hAnsi="Arial" w:cs="Arial"/>
                <w:b/>
                <w:sz w:val="22"/>
                <w:szCs w:val="22"/>
                <w:lang w:val="en-US"/>
              </w:rPr>
            </w:pPr>
            <w:r w:rsidRPr="00682327">
              <w:rPr>
                <w:rFonts w:ascii="Arial" w:hAnsi="Arial" w:cs="Arial"/>
                <w:b/>
                <w:sz w:val="22"/>
                <w:szCs w:val="22"/>
                <w:lang w:val="en-US"/>
              </w:rPr>
              <w:t>O</w:t>
            </w:r>
            <w:r w:rsidR="002804CE" w:rsidRPr="00682327">
              <w:rPr>
                <w:rFonts w:ascii="Arial" w:hAnsi="Arial" w:cs="Arial"/>
                <w:b/>
                <w:sz w:val="22"/>
                <w:szCs w:val="22"/>
                <w:lang w:val="en-US"/>
              </w:rPr>
              <w:t>bjectives</w:t>
            </w:r>
          </w:p>
          <w:p w:rsidR="00F60805" w:rsidRPr="003C541E" w:rsidRDefault="00F60805" w:rsidP="003C541E">
            <w:pPr>
              <w:spacing w:after="200"/>
              <w:jc w:val="both"/>
              <w:rPr>
                <w:rFonts w:ascii="Arial" w:hAnsi="Arial" w:cs="Arial"/>
                <w:sz w:val="22"/>
                <w:szCs w:val="22"/>
                <w:lang w:val="en-US"/>
              </w:rPr>
            </w:pPr>
            <w:r w:rsidRPr="003C541E">
              <w:rPr>
                <w:rFonts w:ascii="Arial" w:hAnsi="Arial" w:cs="Arial"/>
                <w:sz w:val="22"/>
                <w:szCs w:val="22"/>
                <w:lang w:val="en-US"/>
              </w:rPr>
              <w:t xml:space="preserve">• Preserve and disperse Olympic Heritage. </w:t>
            </w:r>
          </w:p>
          <w:p w:rsidR="00F60805" w:rsidRPr="003C541E" w:rsidRDefault="00F60805" w:rsidP="003C541E">
            <w:pPr>
              <w:spacing w:after="200"/>
              <w:jc w:val="both"/>
              <w:rPr>
                <w:rFonts w:ascii="Arial" w:hAnsi="Arial" w:cs="Arial"/>
                <w:sz w:val="22"/>
                <w:szCs w:val="22"/>
                <w:lang w:val="en-US"/>
              </w:rPr>
            </w:pPr>
            <w:r w:rsidRPr="003C541E">
              <w:rPr>
                <w:rFonts w:ascii="Arial" w:hAnsi="Arial" w:cs="Arial"/>
                <w:sz w:val="22"/>
                <w:szCs w:val="22"/>
                <w:lang w:val="en-US"/>
              </w:rPr>
              <w:t xml:space="preserve">• Encourage collaboration with key stakeholders to promote Olympic Education. </w:t>
            </w:r>
          </w:p>
          <w:p w:rsidR="00F60805" w:rsidRPr="003C541E" w:rsidRDefault="00F60805" w:rsidP="003C541E">
            <w:pPr>
              <w:spacing w:after="200"/>
              <w:jc w:val="both"/>
              <w:rPr>
                <w:rFonts w:ascii="Arial" w:hAnsi="Arial" w:cs="Arial"/>
                <w:sz w:val="22"/>
                <w:szCs w:val="22"/>
                <w:lang w:val="en-US"/>
              </w:rPr>
            </w:pPr>
            <w:r w:rsidRPr="003C541E">
              <w:rPr>
                <w:rFonts w:ascii="Arial" w:hAnsi="Arial" w:cs="Arial"/>
                <w:sz w:val="22"/>
                <w:szCs w:val="22"/>
                <w:lang w:val="en-US"/>
              </w:rPr>
              <w:t xml:space="preserve">• Contribute to cohesive and inclusive societies through sport and Olympism.  </w:t>
            </w:r>
          </w:p>
          <w:p w:rsidR="00F60805" w:rsidRPr="00682327" w:rsidRDefault="00F60805" w:rsidP="00F60805">
            <w:pPr>
              <w:tabs>
                <w:tab w:val="left" w:pos="15168"/>
              </w:tabs>
              <w:ind w:left="119" w:right="677"/>
              <w:jc w:val="both"/>
              <w:rPr>
                <w:rFonts w:ascii="Arial" w:hAnsi="Arial" w:cs="Arial"/>
                <w:color w:val="000000"/>
                <w:sz w:val="20"/>
                <w:szCs w:val="20"/>
                <w:lang w:val="en-US" w:eastAsia="el-GR"/>
              </w:rPr>
            </w:pPr>
          </w:p>
          <w:p w:rsidR="002804CE" w:rsidRPr="00682327" w:rsidRDefault="00274497" w:rsidP="002804CE">
            <w:pPr>
              <w:spacing w:after="200"/>
              <w:jc w:val="both"/>
              <w:rPr>
                <w:rFonts w:ascii="Arial" w:hAnsi="Arial" w:cs="Arial"/>
                <w:sz w:val="22"/>
                <w:szCs w:val="22"/>
                <w:lang w:val="en-US"/>
              </w:rPr>
            </w:pPr>
            <w:r w:rsidRPr="00682327">
              <w:rPr>
                <w:rFonts w:ascii="Arial" w:hAnsi="Arial" w:cs="Arial"/>
                <w:sz w:val="22"/>
                <w:szCs w:val="22"/>
                <w:lang w:val="en-US"/>
              </w:rPr>
              <w:t xml:space="preserve">Located centrally, </w:t>
            </w:r>
            <w:r w:rsidR="002804CE" w:rsidRPr="00682327">
              <w:rPr>
                <w:rFonts w:ascii="Arial" w:hAnsi="Arial" w:cs="Arial"/>
                <w:sz w:val="22"/>
                <w:szCs w:val="22"/>
                <w:lang w:val="en-US"/>
              </w:rPr>
              <w:t xml:space="preserve">between the city’s largest stadium and </w:t>
            </w:r>
            <w:r w:rsidR="00F60805" w:rsidRPr="00682327">
              <w:rPr>
                <w:rFonts w:ascii="Arial" w:hAnsi="Arial" w:cs="Arial"/>
                <w:sz w:val="22"/>
                <w:szCs w:val="22"/>
                <w:lang w:val="en-US"/>
              </w:rPr>
              <w:t xml:space="preserve">the </w:t>
            </w:r>
            <w:r w:rsidR="002804CE" w:rsidRPr="00682327">
              <w:rPr>
                <w:rFonts w:ascii="Arial" w:hAnsi="Arial" w:cs="Arial"/>
                <w:sz w:val="22"/>
                <w:szCs w:val="22"/>
                <w:lang w:val="en-US"/>
              </w:rPr>
              <w:t>Un</w:t>
            </w:r>
            <w:r w:rsidR="00F60805" w:rsidRPr="00682327">
              <w:rPr>
                <w:rFonts w:ascii="Arial" w:hAnsi="Arial" w:cs="Arial"/>
                <w:sz w:val="22"/>
                <w:szCs w:val="22"/>
                <w:lang w:val="en-US"/>
              </w:rPr>
              <w:t>iversity</w:t>
            </w:r>
            <w:r w:rsidRPr="00682327">
              <w:rPr>
                <w:rFonts w:ascii="Arial" w:hAnsi="Arial" w:cs="Arial"/>
                <w:sz w:val="22"/>
                <w:szCs w:val="22"/>
                <w:lang w:val="en-US"/>
              </w:rPr>
              <w:t xml:space="preserve">, the </w:t>
            </w:r>
            <w:r w:rsidR="002804CE" w:rsidRPr="00682327">
              <w:rPr>
                <w:rFonts w:ascii="Arial" w:hAnsi="Arial" w:cs="Arial"/>
                <w:sz w:val="22"/>
                <w:szCs w:val="22"/>
                <w:lang w:val="en-US"/>
              </w:rPr>
              <w:t>Museum is housed in a 4.500 sq. m. purpose-built, contemporary structure. Friendly and adaptable, it is designed to accommodate mu</w:t>
            </w:r>
            <w:r w:rsidR="00F60805" w:rsidRPr="00682327">
              <w:rPr>
                <w:rFonts w:ascii="Arial" w:hAnsi="Arial" w:cs="Arial"/>
                <w:sz w:val="22"/>
                <w:szCs w:val="22"/>
                <w:lang w:val="en-US"/>
              </w:rPr>
              <w:t xml:space="preserve">ltiple </w:t>
            </w:r>
            <w:r w:rsidR="00F60805" w:rsidRPr="00682327">
              <w:rPr>
                <w:rFonts w:ascii="Arial" w:hAnsi="Arial" w:cs="Arial"/>
                <w:sz w:val="22"/>
                <w:szCs w:val="22"/>
                <w:lang w:val="en-US"/>
              </w:rPr>
              <w:lastRenderedPageBreak/>
              <w:t>functions. Apart from the</w:t>
            </w:r>
            <w:r w:rsidR="002804CE" w:rsidRPr="00682327">
              <w:rPr>
                <w:rFonts w:ascii="Arial" w:hAnsi="Arial" w:cs="Arial"/>
                <w:sz w:val="22"/>
                <w:szCs w:val="22"/>
                <w:lang w:val="en-US"/>
              </w:rPr>
              <w:t xml:space="preserve"> perm</w:t>
            </w:r>
            <w:r w:rsidR="00F60805" w:rsidRPr="00682327">
              <w:rPr>
                <w:rFonts w:ascii="Arial" w:hAnsi="Arial" w:cs="Arial"/>
                <w:sz w:val="22"/>
                <w:szCs w:val="22"/>
                <w:lang w:val="en-US"/>
              </w:rPr>
              <w:t>anent collection, there are</w:t>
            </w:r>
            <w:r w:rsidR="002804CE" w:rsidRPr="00682327">
              <w:rPr>
                <w:rFonts w:ascii="Arial" w:hAnsi="Arial" w:cs="Arial"/>
                <w:sz w:val="22"/>
                <w:szCs w:val="22"/>
                <w:lang w:val="en-US"/>
              </w:rPr>
              <w:t xml:space="preserve"> spaces for te</w:t>
            </w:r>
            <w:r w:rsidR="00F60805" w:rsidRPr="00682327">
              <w:rPr>
                <w:rFonts w:ascii="Arial" w:hAnsi="Arial" w:cs="Arial"/>
                <w:sz w:val="22"/>
                <w:szCs w:val="22"/>
                <w:lang w:val="en-US"/>
              </w:rPr>
              <w:t xml:space="preserve">mporary exhibitions &amp; </w:t>
            </w:r>
            <w:r w:rsidR="002804CE" w:rsidRPr="00682327">
              <w:rPr>
                <w:rFonts w:ascii="Arial" w:hAnsi="Arial" w:cs="Arial"/>
                <w:sz w:val="22"/>
                <w:szCs w:val="22"/>
                <w:lang w:val="en-US"/>
              </w:rPr>
              <w:t xml:space="preserve">educational use, an interactive experience </w:t>
            </w:r>
            <w:r w:rsidR="00F60805" w:rsidRPr="00682327">
              <w:rPr>
                <w:rFonts w:ascii="Arial" w:hAnsi="Arial" w:cs="Arial"/>
                <w:sz w:val="22"/>
                <w:szCs w:val="22"/>
                <w:lang w:val="en-US"/>
              </w:rPr>
              <w:t>hall, an amphitheater, multiple-function rooms, a café and a</w:t>
            </w:r>
            <w:r w:rsidR="002804CE" w:rsidRPr="00682327">
              <w:rPr>
                <w:rFonts w:ascii="Arial" w:hAnsi="Arial" w:cs="Arial"/>
                <w:sz w:val="22"/>
                <w:szCs w:val="22"/>
                <w:lang w:val="en-US"/>
              </w:rPr>
              <w:t xml:space="preserve"> museum shop. </w:t>
            </w:r>
          </w:p>
          <w:p w:rsidR="00274497" w:rsidRPr="00682327" w:rsidRDefault="002804CE" w:rsidP="002804CE">
            <w:pPr>
              <w:spacing w:after="200"/>
              <w:jc w:val="both"/>
              <w:rPr>
                <w:rFonts w:ascii="Arial" w:hAnsi="Arial" w:cs="Arial"/>
                <w:sz w:val="22"/>
                <w:szCs w:val="22"/>
                <w:lang w:val="en-US"/>
              </w:rPr>
            </w:pPr>
            <w:r w:rsidRPr="00682327">
              <w:rPr>
                <w:rFonts w:ascii="Arial" w:hAnsi="Arial" w:cs="Arial"/>
                <w:sz w:val="22"/>
                <w:szCs w:val="22"/>
                <w:lang w:val="en-US"/>
              </w:rPr>
              <w:t>As a Non-profit cultural organization with no access to state funding, the museum relies on income generated by its operations, – admissions, educational programming, sport and culture e</w:t>
            </w:r>
            <w:r w:rsidR="00274497" w:rsidRPr="00682327">
              <w:rPr>
                <w:rFonts w:ascii="Arial" w:hAnsi="Arial" w:cs="Arial"/>
                <w:sz w:val="22"/>
                <w:szCs w:val="22"/>
                <w:lang w:val="en-US"/>
              </w:rPr>
              <w:t xml:space="preserve">vents, conference facilities -, </w:t>
            </w:r>
            <w:r w:rsidRPr="00682327">
              <w:rPr>
                <w:rFonts w:ascii="Arial" w:hAnsi="Arial" w:cs="Arial"/>
                <w:sz w:val="22"/>
                <w:szCs w:val="22"/>
                <w:lang w:val="en-US"/>
              </w:rPr>
              <w:t xml:space="preserve">sponsorship and donations.  </w:t>
            </w:r>
          </w:p>
          <w:p w:rsidR="002804CE" w:rsidRPr="00682327" w:rsidRDefault="002804CE" w:rsidP="002804CE">
            <w:pPr>
              <w:spacing w:after="200"/>
              <w:jc w:val="both"/>
              <w:rPr>
                <w:rFonts w:ascii="Arial" w:hAnsi="Arial" w:cs="Arial"/>
                <w:sz w:val="22"/>
                <w:szCs w:val="22"/>
                <w:lang w:val="en-US"/>
              </w:rPr>
            </w:pPr>
            <w:r w:rsidRPr="00682327">
              <w:rPr>
                <w:rFonts w:ascii="Arial" w:hAnsi="Arial" w:cs="Arial"/>
                <w:sz w:val="22"/>
                <w:szCs w:val="22"/>
                <w:lang w:val="en-US"/>
              </w:rPr>
              <w:t>Through-out its uninterrupted 15 year-long operations, the organization has recorded more than 700.000 visitors to its permanent collection and conference facilities, and over 1,000,000 participants to its community outreach events, taking place both within and “beyond its walls”, at times in different geographical areas of the country. Sport as a tool for promoting inclusive societies is the focus of its triennial SPORTS + PEACE (2018-2020) community outreach strategy.</w:t>
            </w:r>
          </w:p>
          <w:p w:rsidR="002804CE" w:rsidRPr="00682327" w:rsidRDefault="002804CE" w:rsidP="002804CE">
            <w:pPr>
              <w:spacing w:after="200"/>
              <w:jc w:val="both"/>
              <w:rPr>
                <w:rFonts w:ascii="Arial" w:hAnsi="Arial" w:cs="Arial"/>
                <w:sz w:val="22"/>
                <w:szCs w:val="22"/>
                <w:lang w:val="en-US"/>
              </w:rPr>
            </w:pPr>
            <w:r w:rsidRPr="00682327">
              <w:rPr>
                <w:rFonts w:ascii="Arial" w:hAnsi="Arial" w:cs="Arial"/>
                <w:sz w:val="22"/>
                <w:szCs w:val="22"/>
                <w:lang w:val="en-US"/>
              </w:rPr>
              <w:t>Since its foundation, it has become a member of the International Sports Heritage Association (ISHA, 2006) and the International Council of Museums (ICOM, 2006), coordinates the Olympic Day Working Group within the Olympic Museums Network (OMN, 2006) and has established partnership agreements with numerous institutions amongst which are the International Olympic Truce Center (2017), Olympism for Humanity Alliance (2017), the Museum of Albanian Alphabet (2016), Triagolnic Center for non-formal Education (2016), the Greek Ministry of Education, Research &amp; Religious Affairs, the Hellenic Association of Olympic Winners, the Information Technology Department of the School of Technological Applications (S.T.EF.), Pinewood American International School etc.</w:t>
            </w:r>
          </w:p>
          <w:p w:rsidR="002804CE" w:rsidRPr="00682327" w:rsidRDefault="004A0603" w:rsidP="002804CE">
            <w:pPr>
              <w:spacing w:after="200"/>
              <w:jc w:val="both"/>
              <w:rPr>
                <w:rFonts w:ascii="Arial" w:hAnsi="Arial" w:cs="Arial"/>
                <w:sz w:val="22"/>
                <w:szCs w:val="22"/>
                <w:lang w:val="en-US"/>
              </w:rPr>
            </w:pPr>
            <w:r w:rsidRPr="00682327">
              <w:rPr>
                <w:rFonts w:ascii="Arial" w:hAnsi="Arial" w:cs="Arial"/>
                <w:sz w:val="22"/>
                <w:szCs w:val="22"/>
                <w:lang w:val="en-US"/>
              </w:rPr>
              <w:t>The M</w:t>
            </w:r>
            <w:r w:rsidR="002804CE" w:rsidRPr="00682327">
              <w:rPr>
                <w:rFonts w:ascii="Arial" w:hAnsi="Arial" w:cs="Arial"/>
                <w:sz w:val="22"/>
                <w:szCs w:val="22"/>
                <w:lang w:val="en-US"/>
              </w:rPr>
              <w:t>useum’s permanent collection contains th</w:t>
            </w:r>
            <w:r w:rsidRPr="00682327">
              <w:rPr>
                <w:rFonts w:ascii="Arial" w:hAnsi="Arial" w:cs="Arial"/>
                <w:sz w:val="22"/>
                <w:szCs w:val="22"/>
                <w:lang w:val="en-US"/>
              </w:rPr>
              <w:t xml:space="preserve">ree thematic areas: </w:t>
            </w:r>
            <w:r w:rsidR="002804CE" w:rsidRPr="00682327">
              <w:rPr>
                <w:rFonts w:ascii="Arial" w:hAnsi="Arial" w:cs="Arial"/>
                <w:sz w:val="22"/>
                <w:szCs w:val="22"/>
                <w:lang w:val="en-US"/>
              </w:rPr>
              <w:t>Ancient Olympics, Modern Olympic Games and Paralymp</w:t>
            </w:r>
            <w:r w:rsidRPr="00682327">
              <w:rPr>
                <w:rFonts w:ascii="Arial" w:hAnsi="Arial" w:cs="Arial"/>
                <w:sz w:val="22"/>
                <w:szCs w:val="22"/>
                <w:lang w:val="en-US"/>
              </w:rPr>
              <w:t>ics. Each area narrates</w:t>
            </w:r>
            <w:r w:rsidR="002804CE" w:rsidRPr="00682327">
              <w:rPr>
                <w:rFonts w:ascii="Arial" w:hAnsi="Arial" w:cs="Arial"/>
                <w:sz w:val="22"/>
                <w:szCs w:val="22"/>
                <w:lang w:val="en-US"/>
              </w:rPr>
              <w:t xml:space="preserve"> the socio-political background of the Games, their organization and the competition period. </w:t>
            </w:r>
          </w:p>
          <w:p w:rsidR="002804CE" w:rsidRPr="00682327" w:rsidRDefault="002804CE" w:rsidP="002804CE">
            <w:pPr>
              <w:spacing w:after="200"/>
              <w:jc w:val="both"/>
              <w:rPr>
                <w:rFonts w:ascii="Arial" w:hAnsi="Arial" w:cs="Arial"/>
                <w:sz w:val="22"/>
                <w:szCs w:val="22"/>
                <w:lang w:val="en-US"/>
              </w:rPr>
            </w:pPr>
            <w:r w:rsidRPr="00682327">
              <w:rPr>
                <w:rFonts w:ascii="Arial" w:hAnsi="Arial" w:cs="Arial"/>
                <w:sz w:val="22"/>
                <w:szCs w:val="22"/>
                <w:lang w:val="en-US"/>
              </w:rPr>
              <w:t>Education and the concept of learning by doing are high amon</w:t>
            </w:r>
            <w:r w:rsidR="00274497" w:rsidRPr="00682327">
              <w:rPr>
                <w:rFonts w:ascii="Arial" w:hAnsi="Arial" w:cs="Arial"/>
                <w:sz w:val="22"/>
                <w:szCs w:val="22"/>
                <w:lang w:val="en-US"/>
              </w:rPr>
              <w:t>g the priorities of the museum, which</w:t>
            </w:r>
            <w:r w:rsidRPr="00682327">
              <w:rPr>
                <w:rFonts w:ascii="Arial" w:hAnsi="Arial" w:cs="Arial"/>
                <w:sz w:val="22"/>
                <w:szCs w:val="22"/>
                <w:lang w:val="en-US"/>
              </w:rPr>
              <w:t xml:space="preserve"> has been delivering high-quality educational programming for over 15 years nurturing a community of learners and doers. </w:t>
            </w:r>
            <w:r w:rsidR="004A0603" w:rsidRPr="00682327">
              <w:rPr>
                <w:rFonts w:ascii="Arial" w:hAnsi="Arial" w:cs="Arial"/>
                <w:sz w:val="22"/>
                <w:szCs w:val="22"/>
                <w:lang w:val="en-US"/>
              </w:rPr>
              <w:t>Designed to provide meaningful and engaging learning experiences to students of all grade levels, the museum’s</w:t>
            </w:r>
            <w:r w:rsidRPr="00682327">
              <w:rPr>
                <w:rFonts w:ascii="Arial" w:hAnsi="Arial" w:cs="Arial"/>
                <w:sz w:val="22"/>
                <w:szCs w:val="22"/>
                <w:lang w:val="en-US"/>
              </w:rPr>
              <w:t xml:space="preserve"> educationa</w:t>
            </w:r>
            <w:r w:rsidR="004A0603" w:rsidRPr="00682327">
              <w:rPr>
                <w:rFonts w:ascii="Arial" w:hAnsi="Arial" w:cs="Arial"/>
                <w:sz w:val="22"/>
                <w:szCs w:val="22"/>
                <w:lang w:val="en-US"/>
              </w:rPr>
              <w:t>l programs concentrate yearly over</w:t>
            </w:r>
            <w:r w:rsidRPr="00682327">
              <w:rPr>
                <w:rFonts w:ascii="Arial" w:hAnsi="Arial" w:cs="Arial"/>
                <w:sz w:val="22"/>
                <w:szCs w:val="22"/>
                <w:lang w:val="en-US"/>
              </w:rPr>
              <w:t xml:space="preserve"> 40.000 student</w:t>
            </w:r>
            <w:r w:rsidR="004A0603" w:rsidRPr="00682327">
              <w:rPr>
                <w:rFonts w:ascii="Arial" w:hAnsi="Arial" w:cs="Arial"/>
                <w:sz w:val="22"/>
                <w:szCs w:val="22"/>
                <w:lang w:val="en-US"/>
              </w:rPr>
              <w:t>s.</w:t>
            </w:r>
          </w:p>
          <w:p w:rsidR="002804CE" w:rsidRPr="00682327" w:rsidRDefault="002804CE" w:rsidP="002804CE">
            <w:pPr>
              <w:spacing w:after="200"/>
              <w:jc w:val="both"/>
              <w:rPr>
                <w:rFonts w:ascii="Arial" w:hAnsi="Arial" w:cs="Arial"/>
                <w:sz w:val="22"/>
                <w:szCs w:val="22"/>
                <w:lang w:val="en-US"/>
              </w:rPr>
            </w:pPr>
            <w:r w:rsidRPr="00682327">
              <w:rPr>
                <w:rFonts w:ascii="Arial" w:hAnsi="Arial" w:cs="Arial"/>
                <w:sz w:val="22"/>
                <w:szCs w:val="22"/>
                <w:lang w:val="en-US"/>
              </w:rPr>
              <w:t xml:space="preserve">In 2018, the Olympic Museum introduced sports + peace programme 2018-2020, a marathon of activities aiming to strengthen the Olympic Idea and promote sport in society.  </w:t>
            </w:r>
          </w:p>
          <w:p w:rsidR="002804CE" w:rsidRPr="00682327" w:rsidRDefault="004A0603" w:rsidP="002804CE">
            <w:pPr>
              <w:spacing w:after="200"/>
              <w:jc w:val="both"/>
              <w:rPr>
                <w:rFonts w:ascii="Arial" w:hAnsi="Arial" w:cs="Arial"/>
                <w:b/>
                <w:sz w:val="22"/>
                <w:szCs w:val="22"/>
                <w:lang w:val="en-US"/>
              </w:rPr>
            </w:pPr>
            <w:r w:rsidRPr="00682327">
              <w:rPr>
                <w:rFonts w:ascii="Arial" w:hAnsi="Arial" w:cs="Arial"/>
                <w:sz w:val="22"/>
                <w:szCs w:val="22"/>
                <w:lang w:val="en-US"/>
              </w:rPr>
              <w:t xml:space="preserve"> </w:t>
            </w:r>
            <w:r w:rsidR="009F5CA4">
              <w:rPr>
                <w:rFonts w:ascii="Arial" w:hAnsi="Arial" w:cs="Arial"/>
                <w:b/>
                <w:sz w:val="22"/>
                <w:szCs w:val="22"/>
                <w:lang w:val="en-US"/>
              </w:rPr>
              <w:t>A</w:t>
            </w:r>
            <w:r w:rsidRPr="00682327">
              <w:rPr>
                <w:rFonts w:ascii="Arial" w:hAnsi="Arial" w:cs="Arial"/>
                <w:b/>
                <w:sz w:val="22"/>
                <w:szCs w:val="22"/>
                <w:lang w:val="en-US"/>
              </w:rPr>
              <w:t>ims</w:t>
            </w:r>
          </w:p>
          <w:p w:rsidR="002804CE" w:rsidRPr="00682327" w:rsidRDefault="004A0603" w:rsidP="002804CE">
            <w:pPr>
              <w:spacing w:after="200"/>
              <w:jc w:val="both"/>
              <w:rPr>
                <w:rFonts w:ascii="Arial" w:hAnsi="Arial" w:cs="Arial"/>
                <w:sz w:val="22"/>
                <w:szCs w:val="22"/>
                <w:lang w:val="en-US"/>
              </w:rPr>
            </w:pPr>
            <w:r w:rsidRPr="00682327">
              <w:rPr>
                <w:rFonts w:ascii="Arial" w:hAnsi="Arial" w:cs="Arial"/>
                <w:sz w:val="22"/>
                <w:szCs w:val="22"/>
                <w:lang w:val="en-US"/>
              </w:rPr>
              <w:t>•</w:t>
            </w:r>
            <w:r w:rsidR="002804CE" w:rsidRPr="00682327">
              <w:rPr>
                <w:rFonts w:ascii="Arial" w:hAnsi="Arial" w:cs="Arial"/>
                <w:sz w:val="22"/>
                <w:szCs w:val="22"/>
                <w:lang w:val="en-US"/>
              </w:rPr>
              <w:t xml:space="preserve">Build new conscience in terms of regular physical exercise and health. </w:t>
            </w:r>
          </w:p>
          <w:p w:rsidR="002804CE" w:rsidRPr="00682327" w:rsidRDefault="004A0603" w:rsidP="002804CE">
            <w:pPr>
              <w:spacing w:after="200"/>
              <w:jc w:val="both"/>
              <w:rPr>
                <w:rFonts w:ascii="Arial" w:hAnsi="Arial" w:cs="Arial"/>
                <w:sz w:val="22"/>
                <w:szCs w:val="22"/>
                <w:lang w:val="en-US"/>
              </w:rPr>
            </w:pPr>
            <w:r w:rsidRPr="00682327">
              <w:rPr>
                <w:rFonts w:ascii="Arial" w:hAnsi="Arial" w:cs="Arial"/>
                <w:sz w:val="22"/>
                <w:szCs w:val="22"/>
                <w:lang w:val="en-US"/>
              </w:rPr>
              <w:t>•</w:t>
            </w:r>
            <w:r w:rsidR="002804CE" w:rsidRPr="00682327">
              <w:rPr>
                <w:rFonts w:ascii="Arial" w:hAnsi="Arial" w:cs="Arial"/>
                <w:sz w:val="22"/>
                <w:szCs w:val="22"/>
                <w:lang w:val="en-US"/>
              </w:rPr>
              <w:t xml:space="preserve">Familiarize audiences with the Olympic sports. </w:t>
            </w:r>
          </w:p>
          <w:p w:rsidR="002804CE" w:rsidRPr="00682327" w:rsidRDefault="004A0603" w:rsidP="002804CE">
            <w:pPr>
              <w:spacing w:after="200"/>
              <w:jc w:val="both"/>
              <w:rPr>
                <w:rFonts w:ascii="Arial" w:hAnsi="Arial" w:cs="Arial"/>
                <w:sz w:val="22"/>
                <w:szCs w:val="22"/>
                <w:lang w:val="en-US"/>
              </w:rPr>
            </w:pPr>
            <w:r w:rsidRPr="00682327">
              <w:rPr>
                <w:rFonts w:ascii="Arial" w:hAnsi="Arial" w:cs="Arial"/>
                <w:sz w:val="22"/>
                <w:szCs w:val="22"/>
                <w:lang w:val="en-US"/>
              </w:rPr>
              <w:t>•</w:t>
            </w:r>
            <w:r w:rsidR="002804CE" w:rsidRPr="00682327">
              <w:rPr>
                <w:rFonts w:ascii="Arial" w:hAnsi="Arial" w:cs="Arial"/>
                <w:sz w:val="22"/>
                <w:szCs w:val="22"/>
                <w:lang w:val="en-US"/>
              </w:rPr>
              <w:t xml:space="preserve">Strengthen the Olympic Day celebration, following IOC’s AGENDA 2020. </w:t>
            </w:r>
          </w:p>
          <w:p w:rsidR="002804CE" w:rsidRPr="00682327" w:rsidRDefault="004A0603" w:rsidP="002804CE">
            <w:pPr>
              <w:spacing w:after="200"/>
              <w:jc w:val="both"/>
              <w:rPr>
                <w:rFonts w:ascii="Arial" w:hAnsi="Arial" w:cs="Arial"/>
                <w:sz w:val="22"/>
                <w:szCs w:val="22"/>
                <w:lang w:val="en-US"/>
              </w:rPr>
            </w:pPr>
            <w:r w:rsidRPr="00682327">
              <w:rPr>
                <w:rFonts w:ascii="Arial" w:hAnsi="Arial" w:cs="Arial"/>
                <w:sz w:val="22"/>
                <w:szCs w:val="22"/>
                <w:lang w:val="en-US"/>
              </w:rPr>
              <w:t>•</w:t>
            </w:r>
            <w:r w:rsidR="002804CE" w:rsidRPr="00682327">
              <w:rPr>
                <w:rFonts w:ascii="Arial" w:hAnsi="Arial" w:cs="Arial"/>
                <w:sz w:val="22"/>
                <w:szCs w:val="22"/>
                <w:lang w:val="en-US"/>
              </w:rPr>
              <w:t xml:space="preserve">Support the European Week of Sport by actively participating in the #BE ACTIVE campaign. </w:t>
            </w:r>
          </w:p>
          <w:p w:rsidR="006F2E3E" w:rsidRPr="00682327" w:rsidRDefault="006F2E3E" w:rsidP="002804CE">
            <w:pPr>
              <w:spacing w:after="200"/>
              <w:jc w:val="both"/>
              <w:rPr>
                <w:rFonts w:ascii="Arial" w:hAnsi="Arial" w:cs="Arial"/>
                <w:sz w:val="22"/>
                <w:szCs w:val="22"/>
                <w:lang w:val="en-US"/>
              </w:rPr>
            </w:pPr>
          </w:p>
        </w:tc>
      </w:tr>
      <w:tr w:rsidR="006F2E3E" w:rsidRPr="001A51F5">
        <w:trPr>
          <w:trHeight w:val="875"/>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lastRenderedPageBreak/>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A02C5A" w:rsidRPr="00A02C5A" w:rsidRDefault="00A02C5A">
            <w:pPr>
              <w:rPr>
                <w:rFonts w:ascii="Arial" w:hAnsi="Arial" w:cs="Arial"/>
                <w:b/>
                <w:lang w:val="en-US"/>
              </w:rPr>
            </w:pPr>
            <w:r w:rsidRPr="00A02C5A">
              <w:rPr>
                <w:rFonts w:ascii="Arial" w:hAnsi="Arial" w:cs="Arial"/>
                <w:b/>
                <w:lang w:val="en-US"/>
              </w:rPr>
              <w:t xml:space="preserve">Thessaloniki Olympic Museum </w:t>
            </w:r>
          </w:p>
          <w:p w:rsidR="00A02C5A" w:rsidRDefault="00A02C5A">
            <w:pPr>
              <w:rPr>
                <w:rFonts w:ascii="Arial" w:hAnsi="Arial" w:cs="Arial"/>
                <w:lang w:val="es-ES"/>
              </w:rPr>
            </w:pPr>
            <w:r>
              <w:rPr>
                <w:rFonts w:ascii="Arial" w:hAnsi="Arial" w:cs="Arial"/>
                <w:lang w:val="es-ES"/>
              </w:rPr>
              <w:t>Agiou Dimitriou &amp; 3rd September Street</w:t>
            </w:r>
          </w:p>
          <w:p w:rsidR="00A02C5A" w:rsidRDefault="00A02C5A">
            <w:pPr>
              <w:rPr>
                <w:rFonts w:ascii="Arial" w:hAnsi="Arial" w:cs="Arial"/>
                <w:lang w:val="es-ES"/>
              </w:rPr>
            </w:pPr>
            <w:r>
              <w:rPr>
                <w:rFonts w:ascii="Arial" w:hAnsi="Arial" w:cs="Arial"/>
                <w:lang w:val="es-ES"/>
              </w:rPr>
              <w:t>Thessaloniki, 54636</w:t>
            </w:r>
          </w:p>
          <w:p w:rsidR="00A02C5A" w:rsidRDefault="00A02C5A" w:rsidP="00A02C5A">
            <w:pPr>
              <w:rPr>
                <w:rFonts w:ascii="Arial" w:hAnsi="Arial" w:cs="Arial"/>
                <w:lang w:val="es-ES"/>
              </w:rPr>
            </w:pPr>
            <w:r>
              <w:rPr>
                <w:rFonts w:ascii="Arial" w:hAnsi="Arial" w:cs="Arial"/>
                <w:lang w:val="es-ES"/>
              </w:rPr>
              <w:t xml:space="preserve">Tel </w:t>
            </w:r>
            <w:r w:rsidRPr="00A02C5A">
              <w:rPr>
                <w:rFonts w:ascii="Arial" w:hAnsi="Arial" w:cs="Arial"/>
                <w:lang w:val="es-ES"/>
              </w:rPr>
              <w:t>+302310968531</w:t>
            </w:r>
            <w:r>
              <w:rPr>
                <w:rFonts w:ascii="Arial" w:hAnsi="Arial" w:cs="Arial"/>
                <w:lang w:val="es-ES"/>
              </w:rPr>
              <w:t>-2</w:t>
            </w:r>
          </w:p>
          <w:p w:rsidR="00A02C5A" w:rsidRDefault="00A02C5A">
            <w:pPr>
              <w:rPr>
                <w:rFonts w:ascii="Arial" w:hAnsi="Arial" w:cs="Arial"/>
                <w:lang w:val="es-ES"/>
              </w:rPr>
            </w:pPr>
            <w:r>
              <w:rPr>
                <w:rFonts w:ascii="Arial" w:hAnsi="Arial" w:cs="Arial"/>
                <w:lang w:val="es-ES"/>
              </w:rPr>
              <w:t>Fax +30968726</w:t>
            </w:r>
          </w:p>
          <w:p w:rsidR="00A02C5A" w:rsidRPr="00A02C5A" w:rsidRDefault="00A344CD">
            <w:pPr>
              <w:rPr>
                <w:rFonts w:ascii="Arial" w:hAnsi="Arial" w:cs="Arial"/>
                <w:lang w:val="es-ES"/>
              </w:rPr>
            </w:pPr>
            <w:hyperlink r:id="rId7" w:history="1">
              <w:r w:rsidR="00A02C5A" w:rsidRPr="001A51F5">
                <w:rPr>
                  <w:rFonts w:ascii="Arial" w:hAnsi="Arial" w:cs="Arial"/>
                  <w:color w:val="0000FF"/>
                  <w:u w:val="single"/>
                  <w:lang w:val="en-US"/>
                </w:rPr>
                <w:t>http://www.olympicmuseum-thessaloniki.org/</w:t>
              </w:r>
            </w:hyperlink>
          </w:p>
          <w:p w:rsidR="006F2E3E" w:rsidRPr="00682327" w:rsidRDefault="002804CE">
            <w:pPr>
              <w:rPr>
                <w:rFonts w:ascii="Arial" w:hAnsi="Arial" w:cs="Arial"/>
                <w:lang w:val="es-ES"/>
              </w:rPr>
            </w:pPr>
            <w:r w:rsidRPr="00682327">
              <w:rPr>
                <w:rFonts w:ascii="Arial" w:hAnsi="Arial" w:cs="Arial"/>
                <w:lang w:val="es-ES"/>
              </w:rPr>
              <w:t xml:space="preserve">MARKETING DEPARTMENT </w:t>
            </w:r>
          </w:p>
          <w:p w:rsidR="002804CE" w:rsidRPr="00682327" w:rsidRDefault="00F60805">
            <w:pPr>
              <w:rPr>
                <w:rFonts w:ascii="Arial" w:hAnsi="Arial" w:cs="Arial"/>
                <w:lang w:val="es-ES"/>
              </w:rPr>
            </w:pPr>
            <w:r w:rsidRPr="00682327">
              <w:rPr>
                <w:rFonts w:ascii="Arial" w:hAnsi="Arial" w:cs="Arial"/>
                <w:lang w:val="es-ES"/>
              </w:rPr>
              <w:t>Mrs Maria Koloni,</w:t>
            </w:r>
            <w:r w:rsidR="002804CE" w:rsidRPr="00682327">
              <w:rPr>
                <w:rFonts w:ascii="Arial" w:hAnsi="Arial" w:cs="Arial"/>
                <w:lang w:val="es-ES"/>
              </w:rPr>
              <w:t xml:space="preserve"> </w:t>
            </w:r>
          </w:p>
          <w:p w:rsidR="002804CE" w:rsidRPr="0066379A" w:rsidRDefault="00A344CD">
            <w:pPr>
              <w:rPr>
                <w:rFonts w:ascii="Arial" w:hAnsi="Arial" w:cs="Arial"/>
                <w:color w:val="000000"/>
                <w:lang w:val="es-ES"/>
              </w:rPr>
            </w:pPr>
            <w:hyperlink r:id="rId8" w:history="1">
              <w:r w:rsidR="00A02C5A" w:rsidRPr="0066379A">
                <w:rPr>
                  <w:rStyle w:val="Hiperpovezava"/>
                  <w:rFonts w:ascii="Arial" w:hAnsi="Arial" w:cs="Arial"/>
                  <w:color w:val="000000"/>
                  <w:u w:val="none"/>
                  <w:lang w:val="es-ES"/>
                </w:rPr>
                <w:t>marketing@olympicmuseum.org.gr</w:t>
              </w:r>
            </w:hyperlink>
          </w:p>
          <w:p w:rsidR="00A02C5A" w:rsidRPr="001A51F5" w:rsidRDefault="00A02C5A">
            <w:pPr>
              <w:rPr>
                <w:lang w:val="en-US"/>
              </w:rPr>
            </w:pPr>
          </w:p>
          <w:p w:rsidR="00A02C5A" w:rsidRPr="00A02C5A" w:rsidRDefault="00A02C5A">
            <w:pPr>
              <w:rPr>
                <w:rFonts w:ascii="Arial" w:hAnsi="Arial" w:cs="Arial"/>
                <w:lang w:val="es-ES"/>
              </w:rPr>
            </w:pPr>
          </w:p>
        </w:tc>
      </w:tr>
    </w:tbl>
    <w:p w:rsidR="006F2E3E" w:rsidRPr="00A02C5A" w:rsidRDefault="006F2E3E">
      <w:pPr>
        <w:rPr>
          <w:rFonts w:ascii="Cambria" w:hAnsi="Cambria" w:cs="Cambria"/>
          <w:lang w:val="es-ES"/>
        </w:rPr>
      </w:pPr>
    </w:p>
    <w:p w:rsidR="006F2E3E" w:rsidRPr="00A02C5A" w:rsidRDefault="006F2E3E">
      <w:pPr>
        <w:rPr>
          <w:rFonts w:ascii="Cambria" w:hAnsi="Cambria" w:cs="Cambria"/>
          <w:lang w:val="es-ES"/>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1A51F5">
        <w:trPr>
          <w:trHeight w:val="552"/>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682327" w:rsidRDefault="00AF15B9">
            <w:pPr>
              <w:rPr>
                <w:rFonts w:ascii="Arial" w:hAnsi="Arial" w:cs="Arial"/>
                <w:lang w:val="en-US"/>
              </w:rPr>
            </w:pPr>
            <w:r w:rsidRPr="00682327">
              <w:rPr>
                <w:rFonts w:ascii="Arial" w:hAnsi="Arial" w:cs="Arial"/>
                <w:lang w:val="en-US"/>
              </w:rPr>
              <w:t xml:space="preserve">Arts and crafts, exhibition,  programming for cultural events, festival as dissemination platform of either </w:t>
            </w:r>
          </w:p>
        </w:tc>
      </w:tr>
      <w:tr w:rsidR="006F2E3E" w:rsidRPr="001A51F5">
        <w:trPr>
          <w:trHeight w:val="1306"/>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682327" w:rsidRDefault="00AF15B9">
            <w:pPr>
              <w:rPr>
                <w:rFonts w:ascii="Arial" w:hAnsi="Arial" w:cs="Arial"/>
                <w:lang w:val="en-US"/>
              </w:rPr>
            </w:pPr>
            <w:r w:rsidRPr="00682327">
              <w:rPr>
                <w:rFonts w:ascii="Arial" w:hAnsi="Arial" w:cs="Arial"/>
                <w:lang w:val="en-US"/>
              </w:rPr>
              <w:t xml:space="preserve">Interested in partnering with Western Balkan countries to become either actively involved in creative production or act as a presentation and dissemination channel.  </w:t>
            </w: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682327">
        <w:trPr>
          <w:trHeight w:val="552"/>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1A51F5" w:rsidRDefault="009F5CA4">
            <w:pPr>
              <w:rPr>
                <w:rFonts w:ascii="Arial" w:hAnsi="Arial" w:cs="Arial"/>
                <w:color w:val="000000"/>
                <w:lang w:val="en-US"/>
              </w:rPr>
            </w:pPr>
            <w:r w:rsidRPr="001A51F5">
              <w:rPr>
                <w:rFonts w:ascii="Arial" w:hAnsi="Arial" w:cs="Arial"/>
                <w:b/>
                <w:color w:val="000000"/>
                <w:lang w:val="en-US"/>
              </w:rPr>
              <w:t>Focusing on</w:t>
            </w:r>
            <w:r w:rsidRPr="001A51F5">
              <w:rPr>
                <w:rFonts w:ascii="Arial" w:hAnsi="Arial" w:cs="Arial"/>
                <w:color w:val="000000"/>
                <w:lang w:val="en-US"/>
              </w:rPr>
              <w:t xml:space="preserve"> </w:t>
            </w:r>
            <w:r w:rsidR="00AF15B9" w:rsidRPr="001A51F5">
              <w:rPr>
                <w:rFonts w:ascii="Arial" w:hAnsi="Arial" w:cs="Arial"/>
                <w:color w:val="000000"/>
                <w:lang w:val="en-US"/>
              </w:rPr>
              <w:t>Western Balkan IPA II Beneficiaries: Republic of Albania, Bosnia and Herzegovina, Kosovo*, Montenegro, Republic of North Macedonia and Republic of Serbia</w:t>
            </w:r>
          </w:p>
          <w:p w:rsidR="009F5CA4" w:rsidRPr="009F5CA4" w:rsidRDefault="009F5CA4">
            <w:pPr>
              <w:rPr>
                <w:rFonts w:ascii="Arial" w:hAnsi="Arial" w:cs="Arial"/>
                <w:b/>
                <w:lang w:val="fr-BE"/>
              </w:rPr>
            </w:pPr>
            <w:r w:rsidRPr="009F5CA4">
              <w:rPr>
                <w:rFonts w:ascii="Arial" w:hAnsi="Arial" w:cs="Arial"/>
                <w:b/>
                <w:color w:val="000000"/>
              </w:rPr>
              <w:t>&amp; all eligible countries</w:t>
            </w:r>
          </w:p>
        </w:tc>
      </w:tr>
      <w:tr w:rsidR="006F2E3E" w:rsidRPr="001A51F5">
        <w:trPr>
          <w:trHeight w:val="819"/>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fr-BE"/>
              </w:rPr>
            </w:pPr>
            <w:r w:rsidRPr="00682327">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682327" w:rsidRDefault="00AF15B9">
            <w:pPr>
              <w:rPr>
                <w:rFonts w:ascii="Arial" w:hAnsi="Arial" w:cs="Arial"/>
                <w:lang w:val="en-US"/>
              </w:rPr>
            </w:pPr>
            <w:r w:rsidRPr="00682327">
              <w:rPr>
                <w:rFonts w:ascii="Arial" w:hAnsi="Arial" w:cs="Arial"/>
                <w:lang w:val="en-US"/>
              </w:rPr>
              <w:t xml:space="preserve">Museums, arts and culture organizations, NGOs  </w:t>
            </w: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682327">
        <w:trPr>
          <w:trHeight w:val="552"/>
        </w:trPr>
        <w:tc>
          <w:tcPr>
            <w:tcW w:w="1800" w:type="dxa"/>
            <w:tcBorders>
              <w:top w:val="nil"/>
              <w:left w:val="nil"/>
              <w:bottom w:val="nil"/>
              <w:right w:val="single" w:sz="4" w:space="0" w:color="99CC00"/>
            </w:tcBorders>
            <w:vAlign w:val="center"/>
          </w:tcPr>
          <w:p w:rsidR="006F2E3E" w:rsidRPr="00682327" w:rsidRDefault="006F2E3E">
            <w:pPr>
              <w:rPr>
                <w:rFonts w:ascii="Cambria" w:hAnsi="Cambria" w:cs="Cambria"/>
                <w:lang w:val="en-US"/>
              </w:rPr>
            </w:pPr>
            <w:r w:rsidRPr="00682327">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682327" w:rsidRDefault="006F2E3E">
            <w:pPr>
              <w:rPr>
                <w:rFonts w:ascii="Cambria" w:hAnsi="Cambria" w:cs="Cambria"/>
                <w:lang w:val="en-US"/>
              </w:rPr>
            </w:pPr>
          </w:p>
          <w:p w:rsidR="006F2E3E" w:rsidRPr="00682327" w:rsidRDefault="006F2E3E">
            <w:pPr>
              <w:rPr>
                <w:rFonts w:ascii="Cambria" w:hAnsi="Cambria" w:cs="Cambria"/>
                <w:lang w:val="es-E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CD" w:rsidRDefault="00A344CD">
      <w:r>
        <w:separator/>
      </w:r>
    </w:p>
  </w:endnote>
  <w:endnote w:type="continuationSeparator" w:id="0">
    <w:p w:rsidR="00A344CD" w:rsidRDefault="00A3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CD" w:rsidRDefault="00A344CD">
      <w:r>
        <w:separator/>
      </w:r>
    </w:p>
  </w:footnote>
  <w:footnote w:type="continuationSeparator" w:id="0">
    <w:p w:rsidR="00A344CD" w:rsidRDefault="00A34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E"/>
    <w:rsid w:val="0007778F"/>
    <w:rsid w:val="001A51F5"/>
    <w:rsid w:val="00274497"/>
    <w:rsid w:val="002804CE"/>
    <w:rsid w:val="00285073"/>
    <w:rsid w:val="003C541E"/>
    <w:rsid w:val="004A0603"/>
    <w:rsid w:val="0066379A"/>
    <w:rsid w:val="00682327"/>
    <w:rsid w:val="006F2E3E"/>
    <w:rsid w:val="009F5CA4"/>
    <w:rsid w:val="00A02C5A"/>
    <w:rsid w:val="00A344CD"/>
    <w:rsid w:val="00AF15B9"/>
    <w:rsid w:val="00F60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9953A0-D532-45DF-BAE6-57BE460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5073"/>
    <w:rPr>
      <w:rFonts w:ascii="Times New Roman" w:hAnsi="Times New Roman"/>
      <w:sz w:val="24"/>
      <w:szCs w:val="24"/>
      <w:lang w:val="fr-FR"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85073"/>
    <w:pPr>
      <w:tabs>
        <w:tab w:val="center" w:pos="4536"/>
        <w:tab w:val="right" w:pos="9072"/>
      </w:tabs>
    </w:pPr>
  </w:style>
  <w:style w:type="character" w:customStyle="1" w:styleId="GlavaZnak">
    <w:name w:val="Glava Znak"/>
    <w:link w:val="Glava"/>
    <w:uiPriority w:val="99"/>
    <w:rsid w:val="00285073"/>
    <w:rPr>
      <w:rFonts w:ascii="Times New Roman" w:hAnsi="Times New Roman" w:cs="Times New Roman"/>
      <w:sz w:val="24"/>
      <w:szCs w:val="24"/>
      <w:lang w:val="fr-FR" w:eastAsia="fr-FR"/>
    </w:rPr>
  </w:style>
  <w:style w:type="paragraph" w:styleId="Noga">
    <w:name w:val="footer"/>
    <w:basedOn w:val="Navaden"/>
    <w:link w:val="NogaZnak"/>
    <w:uiPriority w:val="99"/>
    <w:rsid w:val="00285073"/>
    <w:pPr>
      <w:tabs>
        <w:tab w:val="center" w:pos="4536"/>
        <w:tab w:val="right" w:pos="9072"/>
      </w:tabs>
    </w:pPr>
  </w:style>
  <w:style w:type="character" w:customStyle="1" w:styleId="NogaZnak">
    <w:name w:val="Noga Znak"/>
    <w:link w:val="Noga"/>
    <w:uiPriority w:val="99"/>
    <w:rsid w:val="00285073"/>
    <w:rPr>
      <w:rFonts w:ascii="Times New Roman" w:hAnsi="Times New Roman" w:cs="Times New Roman"/>
      <w:sz w:val="24"/>
      <w:szCs w:val="24"/>
      <w:lang w:val="fr-FR" w:eastAsia="fr-FR"/>
    </w:rPr>
  </w:style>
  <w:style w:type="character" w:styleId="Hiperpovezava">
    <w:name w:val="Hyperlink"/>
    <w:uiPriority w:val="99"/>
    <w:rsid w:val="0028507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4411">
      <w:bodyDiv w:val="1"/>
      <w:marLeft w:val="0"/>
      <w:marRight w:val="0"/>
      <w:marTop w:val="0"/>
      <w:marBottom w:val="0"/>
      <w:divBdr>
        <w:top w:val="none" w:sz="0" w:space="0" w:color="auto"/>
        <w:left w:val="none" w:sz="0" w:space="0" w:color="auto"/>
        <w:bottom w:val="none" w:sz="0" w:space="0" w:color="auto"/>
        <w:right w:val="none" w:sz="0" w:space="0" w:color="auto"/>
      </w:divBdr>
      <w:divsChild>
        <w:div w:id="2094085591">
          <w:marLeft w:val="0"/>
          <w:marRight w:val="0"/>
          <w:marTop w:val="0"/>
          <w:marBottom w:val="0"/>
          <w:divBdr>
            <w:top w:val="none" w:sz="0" w:space="0" w:color="auto"/>
            <w:left w:val="none" w:sz="0" w:space="0" w:color="auto"/>
            <w:bottom w:val="none" w:sz="0" w:space="0" w:color="auto"/>
            <w:right w:val="none" w:sz="0" w:space="0" w:color="auto"/>
          </w:divBdr>
        </w:div>
        <w:div w:id="386076560">
          <w:marLeft w:val="0"/>
          <w:marRight w:val="0"/>
          <w:marTop w:val="0"/>
          <w:marBottom w:val="0"/>
          <w:divBdr>
            <w:top w:val="none" w:sz="0" w:space="0" w:color="auto"/>
            <w:left w:val="none" w:sz="0" w:space="0" w:color="auto"/>
            <w:bottom w:val="none" w:sz="0" w:space="0" w:color="auto"/>
            <w:right w:val="none" w:sz="0" w:space="0" w:color="auto"/>
          </w:divBdr>
        </w:div>
      </w:divsChild>
    </w:div>
    <w:div w:id="1801340692">
      <w:bodyDiv w:val="1"/>
      <w:marLeft w:val="0"/>
      <w:marRight w:val="0"/>
      <w:marTop w:val="0"/>
      <w:marBottom w:val="0"/>
      <w:divBdr>
        <w:top w:val="none" w:sz="0" w:space="0" w:color="auto"/>
        <w:left w:val="none" w:sz="0" w:space="0" w:color="auto"/>
        <w:bottom w:val="none" w:sz="0" w:space="0" w:color="auto"/>
        <w:right w:val="none" w:sz="0" w:space="0" w:color="auto"/>
      </w:divBdr>
      <w:divsChild>
        <w:div w:id="768622079">
          <w:marLeft w:val="0"/>
          <w:marRight w:val="0"/>
          <w:marTop w:val="0"/>
          <w:marBottom w:val="48"/>
          <w:divBdr>
            <w:top w:val="none" w:sz="0" w:space="0" w:color="auto"/>
            <w:left w:val="none" w:sz="0" w:space="0" w:color="auto"/>
            <w:bottom w:val="none" w:sz="0" w:space="0" w:color="auto"/>
            <w:right w:val="none" w:sz="0" w:space="0" w:color="auto"/>
          </w:divBdr>
        </w:div>
        <w:div w:id="1976401013">
          <w:marLeft w:val="0"/>
          <w:marRight w:val="0"/>
          <w:marTop w:val="0"/>
          <w:marBottom w:val="264"/>
          <w:divBdr>
            <w:top w:val="none" w:sz="0" w:space="0" w:color="auto"/>
            <w:left w:val="none" w:sz="0" w:space="0" w:color="auto"/>
            <w:bottom w:val="none" w:sz="0" w:space="0" w:color="auto"/>
            <w:right w:val="none" w:sz="0" w:space="0" w:color="auto"/>
          </w:divBdr>
        </w:div>
        <w:div w:id="1223372556">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olympicmuseum.org.gr" TargetMode="External"/><Relationship Id="rId3" Type="http://schemas.openxmlformats.org/officeDocument/2006/relationships/settings" Target="settings.xml"/><Relationship Id="rId7" Type="http://schemas.openxmlformats.org/officeDocument/2006/relationships/hyperlink" Target="http://www.olympicmuseum-thessaloni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4" baseType="variant">
      <vt:variant>
        <vt:lpstr>Naslov</vt:lpstr>
      </vt:variant>
      <vt:variant>
        <vt:i4>1</vt:i4>
      </vt:variant>
      <vt:variant>
        <vt:lpstr>Τίτλος</vt:lpstr>
      </vt:variant>
      <vt:variant>
        <vt:i4>1</vt:i4>
      </vt:variant>
    </vt:vector>
  </HeadingPairs>
  <TitlesOfParts>
    <vt:vector size="2" baseType="lpstr">
      <vt:lpstr>Partner search</vt:lpstr>
      <vt:lpstr>Partner search</vt:lpstr>
    </vt:vector>
  </TitlesOfParts>
  <Company>ETNIC</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Hewlett-Packard Company</cp:lastModifiedBy>
  <cp:revision>2</cp:revision>
  <cp:lastPrinted>2014-12-17T16:49:00Z</cp:lastPrinted>
  <dcterms:created xsi:type="dcterms:W3CDTF">2020-01-17T13:54:00Z</dcterms:created>
  <dcterms:modified xsi:type="dcterms:W3CDTF">2020-01-17T13:54:00Z</dcterms:modified>
</cp:coreProperties>
</file>